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B1B87" w14:textId="135F2079" w:rsidR="008C79DD" w:rsidRPr="00440BFF" w:rsidRDefault="00054D3D" w:rsidP="00481CEC">
      <w:pPr>
        <w:pBdr>
          <w:bottom w:val="single" w:sz="4" w:space="1" w:color="auto"/>
        </w:pBdr>
        <w:spacing w:after="0" w:line="360" w:lineRule="auto"/>
        <w:ind w:left="-227"/>
        <w:jc w:val="center"/>
        <w:rPr>
          <w:rFonts w:ascii="Cambria" w:hAnsi="Cambria"/>
          <w:b/>
          <w:bCs/>
          <w:sz w:val="26"/>
          <w:szCs w:val="26"/>
          <w:lang w:val="en-US"/>
        </w:rPr>
      </w:pPr>
      <w:r w:rsidRPr="00440BFF">
        <w:rPr>
          <w:rFonts w:ascii="Cambria" w:hAnsi="Cambria"/>
          <w:b/>
          <w:bCs/>
          <w:sz w:val="26"/>
          <w:szCs w:val="26"/>
          <w:lang w:val="en-US"/>
        </w:rPr>
        <w:t>A management report on the evaluation of Amazon Inc.'s financial health for the fiscal years ending in December 2022 and 2021</w:t>
      </w:r>
    </w:p>
    <w:p w14:paraId="4CD650CA" w14:textId="5E20BF6A" w:rsidR="00440BFF" w:rsidRPr="00481CEC" w:rsidRDefault="00054D3D" w:rsidP="00A20FA4">
      <w:pPr>
        <w:pBdr>
          <w:top w:val="single" w:sz="4" w:space="1" w:color="auto"/>
          <w:bottom w:val="single" w:sz="4" w:space="1" w:color="auto"/>
        </w:pBdr>
        <w:spacing w:after="0" w:line="360" w:lineRule="auto"/>
        <w:ind w:left="-227"/>
        <w:jc w:val="both"/>
        <w:rPr>
          <w:rFonts w:ascii="Trebuchet MS" w:hAnsi="Trebuchet MS"/>
          <w:sz w:val="24"/>
          <w:szCs w:val="24"/>
          <w:lang w:val="en-US"/>
        </w:rPr>
      </w:pPr>
      <w:r w:rsidRPr="00440BFF">
        <w:rPr>
          <w:rFonts w:ascii="Cambria" w:hAnsi="Cambria"/>
          <w:b/>
          <w:bCs/>
          <w:sz w:val="24"/>
          <w:szCs w:val="24"/>
          <w:lang w:val="en-US"/>
        </w:rPr>
        <w:t>Summary:</w:t>
      </w:r>
      <w:r>
        <w:rPr>
          <w:rFonts w:ascii="Trebuchet MS" w:hAnsi="Trebuchet MS"/>
          <w:sz w:val="24"/>
          <w:szCs w:val="24"/>
          <w:lang w:val="en-US"/>
        </w:rPr>
        <w:t xml:space="preserve"> </w:t>
      </w:r>
      <w:r w:rsidR="00440BFF" w:rsidRPr="00440BFF">
        <w:rPr>
          <w:rFonts w:ascii="Cambria" w:hAnsi="Cambria"/>
          <w:sz w:val="24"/>
          <w:szCs w:val="24"/>
          <w:lang w:val="en-US"/>
        </w:rPr>
        <w:t>The results of comparing the financial health of Amazon Inc. between the fiscal years ending in December 2022 and 2021 utilizing the income statement, balance sheet, and cash flow statements are shown in this report. The five key performance indicators specified below serve as the primary goal of the evaluation</w:t>
      </w:r>
      <w:r w:rsidR="00440BFF" w:rsidRPr="00440BFF">
        <w:rPr>
          <w:rFonts w:ascii="Trebuchet MS" w:hAnsi="Trebuchet MS"/>
          <w:sz w:val="24"/>
          <w:szCs w:val="24"/>
          <w:lang w:val="en-US"/>
        </w:rPr>
        <w:t>.</w:t>
      </w:r>
    </w:p>
    <w:p w14:paraId="3FFF9D9F" w14:textId="77777777" w:rsidR="00A20FA4" w:rsidRDefault="00A20FA4" w:rsidP="00A20FA4">
      <w:pPr>
        <w:pBdr>
          <w:top w:val="single" w:sz="4" w:space="1" w:color="auto"/>
        </w:pBdr>
        <w:spacing w:after="0" w:line="360" w:lineRule="auto"/>
        <w:ind w:left="-227"/>
        <w:jc w:val="both"/>
        <w:rPr>
          <w:rFonts w:ascii="Cambria" w:hAnsi="Cambria"/>
          <w:b/>
          <w:bCs/>
          <w:sz w:val="24"/>
          <w:szCs w:val="24"/>
          <w:lang w:val="en-US"/>
        </w:rPr>
      </w:pPr>
    </w:p>
    <w:p w14:paraId="33687A47" w14:textId="6412CAEC" w:rsidR="00481CEC" w:rsidRPr="00D04772" w:rsidRDefault="00D04772" w:rsidP="00A20FA4">
      <w:pPr>
        <w:pBdr>
          <w:top w:val="single" w:sz="4" w:space="1" w:color="auto"/>
        </w:pBdr>
        <w:spacing w:after="0" w:line="360" w:lineRule="auto"/>
        <w:ind w:left="-227"/>
        <w:jc w:val="both"/>
        <w:rPr>
          <w:rFonts w:ascii="Cambria" w:hAnsi="Cambria"/>
          <w:b/>
          <w:bCs/>
          <w:sz w:val="24"/>
          <w:szCs w:val="24"/>
          <w:lang w:val="en-US"/>
        </w:rPr>
      </w:pPr>
      <w:r w:rsidRPr="00D04772">
        <w:rPr>
          <w:rFonts w:ascii="Cambria" w:hAnsi="Cambria"/>
          <w:b/>
          <w:bCs/>
          <w:sz w:val="24"/>
          <w:szCs w:val="24"/>
          <w:lang w:val="en-US"/>
        </w:rPr>
        <w:t>1.0 LIQUIDITY</w:t>
      </w:r>
    </w:p>
    <w:p w14:paraId="6DD9F80D" w14:textId="43E10A28" w:rsidR="00207842" w:rsidRDefault="00AD07F0" w:rsidP="00D834AD">
      <w:pPr>
        <w:spacing w:after="0" w:line="360" w:lineRule="auto"/>
        <w:ind w:left="-227"/>
        <w:jc w:val="both"/>
        <w:rPr>
          <w:rFonts w:ascii="Cambria" w:hAnsi="Cambria"/>
          <w:sz w:val="24"/>
          <w:szCs w:val="24"/>
          <w:lang w:val="en-US"/>
        </w:rPr>
      </w:pPr>
      <w:r w:rsidRPr="00AD07F0">
        <w:rPr>
          <w:rFonts w:ascii="Cambria" w:hAnsi="Cambria"/>
          <w:sz w:val="24"/>
          <w:szCs w:val="24"/>
          <w:lang w:val="en-US"/>
        </w:rPr>
        <w:t>The corporation has a somewhat stronger asset-based ability to offset its immediate liabilities in 2021, according to a review of assets and liabilities. The current, quick, and cash ratios all showed a decline in 2022 of -16.8%, -20.2%, and -33.3%, respectively. Strategies to maximize asset management and minimize current liabilities may be necessary in this circumstance. There appears to be more demand with a (-0.6%) decrease in inventory days in 2022 (volume of storage is not taken into account). With a greater efficiency rate (17.7%) in 2021, consumer debt collection was better. In 2022, there is a surplus of current liabilities than current assets.</w:t>
      </w:r>
    </w:p>
    <w:p w14:paraId="094C3BD9" w14:textId="77777777" w:rsidR="00801E88" w:rsidRDefault="00801E88" w:rsidP="00D834AD">
      <w:pPr>
        <w:spacing w:after="0" w:line="360" w:lineRule="auto"/>
        <w:ind w:left="-227"/>
        <w:jc w:val="both"/>
        <w:rPr>
          <w:rFonts w:ascii="Cambria" w:hAnsi="Cambria"/>
          <w:sz w:val="24"/>
          <w:szCs w:val="24"/>
          <w:lang w:val="en-US"/>
        </w:rPr>
      </w:pPr>
    </w:p>
    <w:p w14:paraId="15CF92C5" w14:textId="77777777" w:rsidR="00801E88" w:rsidRDefault="00801E88" w:rsidP="00801E88">
      <w:pPr>
        <w:jc w:val="both"/>
      </w:pPr>
      <w:r w:rsidRPr="00F52101">
        <w:rPr>
          <w:highlight w:val="green"/>
        </w:rPr>
        <w:t>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worsened in 2019, but can be supported with the argument that Amazon has started its own fulfilment services and is a fast growing company.</w:t>
      </w:r>
      <w:r>
        <w:tab/>
      </w:r>
    </w:p>
    <w:p w14:paraId="7D6E9178" w14:textId="77777777" w:rsidR="00801E88" w:rsidRDefault="00801E88" w:rsidP="00D834AD">
      <w:pPr>
        <w:spacing w:after="0" w:line="360" w:lineRule="auto"/>
        <w:ind w:left="-227"/>
        <w:jc w:val="both"/>
        <w:rPr>
          <w:rFonts w:ascii="Cambria" w:hAnsi="Cambria"/>
          <w:sz w:val="24"/>
          <w:szCs w:val="24"/>
          <w:lang w:val="en-US"/>
        </w:rPr>
      </w:pPr>
    </w:p>
    <w:p w14:paraId="229AC5BF" w14:textId="56631389" w:rsidR="00AD07F0" w:rsidRDefault="00AD07F0" w:rsidP="00D834AD">
      <w:pPr>
        <w:spacing w:after="0" w:line="360" w:lineRule="auto"/>
        <w:ind w:left="-227"/>
        <w:jc w:val="both"/>
        <w:rPr>
          <w:rFonts w:ascii="Cambria" w:hAnsi="Cambria"/>
          <w:b/>
          <w:bCs/>
          <w:sz w:val="24"/>
          <w:szCs w:val="24"/>
          <w:lang w:val="en-US"/>
        </w:rPr>
      </w:pPr>
      <w:r w:rsidRPr="00AD07F0">
        <w:rPr>
          <w:rFonts w:ascii="Cambria" w:hAnsi="Cambria"/>
          <w:b/>
          <w:bCs/>
          <w:sz w:val="24"/>
          <w:szCs w:val="24"/>
          <w:lang w:val="en-US"/>
        </w:rPr>
        <w:t>2.0 PROFITABILITY</w:t>
      </w:r>
    </w:p>
    <w:p w14:paraId="1016BEE0" w14:textId="4F9BDC9F" w:rsidR="00AD07F0" w:rsidRDefault="00272CD5" w:rsidP="00D834AD">
      <w:pPr>
        <w:spacing w:after="0" w:line="360" w:lineRule="auto"/>
        <w:ind w:left="-227"/>
        <w:jc w:val="both"/>
        <w:rPr>
          <w:rFonts w:ascii="Cambria" w:hAnsi="Cambria"/>
          <w:sz w:val="24"/>
          <w:szCs w:val="24"/>
          <w:lang w:val="en-US"/>
        </w:rPr>
      </w:pPr>
      <w:r w:rsidRPr="00272CD5">
        <w:rPr>
          <w:rFonts w:ascii="Cambria" w:hAnsi="Cambria"/>
          <w:sz w:val="24"/>
          <w:szCs w:val="24"/>
          <w:lang w:val="en-US"/>
        </w:rPr>
        <w:t xml:space="preserve">The gross margin for 2022 has increased a little (1.8%) from the prior year. This </w:t>
      </w:r>
      <w:proofErr w:type="gramStart"/>
      <w:r w:rsidRPr="00272CD5">
        <w:rPr>
          <w:rFonts w:ascii="Cambria" w:hAnsi="Cambria"/>
          <w:sz w:val="24"/>
          <w:szCs w:val="24"/>
          <w:lang w:val="en-US"/>
        </w:rPr>
        <w:t>demonstrates</w:t>
      </w:r>
      <w:proofErr w:type="gramEnd"/>
      <w:r w:rsidRPr="00272CD5">
        <w:rPr>
          <w:rFonts w:ascii="Cambria" w:hAnsi="Cambria"/>
          <w:sz w:val="24"/>
          <w:szCs w:val="24"/>
          <w:lang w:val="en-US"/>
        </w:rPr>
        <w:t xml:space="preserve"> a consistent approximation of the profit margin and the business' effectiveness throughout the course of the two years. Based on the negative EBITDA and EBIT figures, as well as EBIT and EBITDA margins, the available data indicates issues at the operating level, notably cost, during the past two years. Income from revenue sales was (+7.1%) in 2021 and decreased to (-0.5%) in 2022, meaning, a change in percentage of -7.6% over the course of two years.</w:t>
      </w:r>
    </w:p>
    <w:p w14:paraId="53E135DC" w14:textId="77777777" w:rsidR="00801E88" w:rsidRDefault="00801E88" w:rsidP="00801E88">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573E51E0" w14:textId="77777777" w:rsidR="00801E88" w:rsidRDefault="00801E88" w:rsidP="00D834AD">
      <w:pPr>
        <w:spacing w:after="0" w:line="360" w:lineRule="auto"/>
        <w:ind w:left="-227"/>
        <w:jc w:val="both"/>
        <w:rPr>
          <w:rFonts w:ascii="Cambria" w:hAnsi="Cambria"/>
          <w:sz w:val="24"/>
          <w:szCs w:val="24"/>
          <w:lang w:val="en-US"/>
        </w:rPr>
      </w:pPr>
    </w:p>
    <w:p w14:paraId="62873A2D" w14:textId="4E23C4E5" w:rsidR="00925631" w:rsidRDefault="00925631" w:rsidP="00D834AD">
      <w:pPr>
        <w:spacing w:after="0" w:line="360" w:lineRule="auto"/>
        <w:ind w:left="-227"/>
        <w:jc w:val="both"/>
        <w:rPr>
          <w:rFonts w:ascii="Cambria" w:hAnsi="Cambria"/>
          <w:b/>
          <w:bCs/>
          <w:sz w:val="24"/>
          <w:szCs w:val="24"/>
          <w:lang w:val="en-US"/>
        </w:rPr>
      </w:pPr>
      <w:r w:rsidRPr="00925631">
        <w:rPr>
          <w:rFonts w:ascii="Cambria" w:hAnsi="Cambria"/>
          <w:b/>
          <w:bCs/>
          <w:sz w:val="24"/>
          <w:szCs w:val="24"/>
          <w:lang w:val="en-US"/>
        </w:rPr>
        <w:t>3.0 SOLVENCY/ DEBT MANAGEMENT</w:t>
      </w:r>
    </w:p>
    <w:p w14:paraId="7CF07E52" w14:textId="2D56DFF0" w:rsidR="00925631" w:rsidRDefault="002C7EA8" w:rsidP="00D834AD">
      <w:pPr>
        <w:spacing w:after="0" w:line="360" w:lineRule="auto"/>
        <w:ind w:left="-227"/>
        <w:jc w:val="both"/>
        <w:rPr>
          <w:rFonts w:ascii="Cambria" w:hAnsi="Cambria"/>
          <w:sz w:val="24"/>
          <w:szCs w:val="24"/>
          <w:lang w:val="en-US"/>
        </w:rPr>
      </w:pPr>
      <w:r w:rsidRPr="002C7EA8">
        <w:rPr>
          <w:rFonts w:ascii="Cambria" w:hAnsi="Cambria"/>
          <w:sz w:val="24"/>
          <w:szCs w:val="24"/>
          <w:lang w:val="en-US"/>
        </w:rPr>
        <w:t>There is a low percentage of assets that are financed by liabilities. The year 2022</w:t>
      </w:r>
      <w:r>
        <w:rPr>
          <w:rFonts w:ascii="Cambria" w:hAnsi="Cambria"/>
          <w:sz w:val="24"/>
          <w:szCs w:val="24"/>
          <w:lang w:val="en-US"/>
        </w:rPr>
        <w:t xml:space="preserve">’s debt to assets is </w:t>
      </w:r>
      <w:r w:rsidRPr="002C7EA8">
        <w:rPr>
          <w:rFonts w:ascii="Cambria" w:hAnsi="Cambria"/>
          <w:sz w:val="24"/>
          <w:szCs w:val="24"/>
          <w:lang w:val="en-US"/>
        </w:rPr>
        <w:t xml:space="preserve">14.5% </w:t>
      </w:r>
      <w:r>
        <w:rPr>
          <w:rFonts w:ascii="Cambria" w:hAnsi="Cambria"/>
          <w:sz w:val="24"/>
          <w:szCs w:val="24"/>
          <w:lang w:val="en-US"/>
        </w:rPr>
        <w:t xml:space="preserve">which is </w:t>
      </w:r>
      <w:r w:rsidRPr="002C7EA8">
        <w:rPr>
          <w:rFonts w:ascii="Cambria" w:hAnsi="Cambria"/>
          <w:sz w:val="24"/>
          <w:szCs w:val="24"/>
          <w:lang w:val="en-US"/>
        </w:rPr>
        <w:t>—2.9% higher than the year before. In addition, the data indicates that the ratio of long-term debt to capital is greater in 2022, up 5.4% from 2021. The company's poor debt coverage ratio throughout these years may raise questions about whether it will be able to pay off its one-time debt. For each equity amount over the course of the two years, the corporation can only use a maximum of 46% leverage. Leverage is slightly increased in 2022 and is 11% greater than in 2021.</w:t>
      </w:r>
      <w:r>
        <w:rPr>
          <w:rFonts w:ascii="Cambria" w:hAnsi="Cambria"/>
          <w:sz w:val="24"/>
          <w:szCs w:val="24"/>
          <w:lang w:val="en-US"/>
        </w:rPr>
        <w:t xml:space="preserve"> </w:t>
      </w:r>
      <w:r w:rsidRPr="002C7EA8">
        <w:rPr>
          <w:rFonts w:ascii="Cambria" w:hAnsi="Cambria"/>
          <w:sz w:val="24"/>
          <w:szCs w:val="24"/>
          <w:lang w:val="en-US"/>
        </w:rPr>
        <w:t>With the lowest value being 116, the corporation has a high probability of paying interest costs on its debt.</w:t>
      </w:r>
    </w:p>
    <w:p w14:paraId="36CDD9AB" w14:textId="77777777" w:rsidR="00801E88" w:rsidRDefault="00801E88" w:rsidP="00801E88">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01DC2AF8" w14:textId="77777777" w:rsidR="00801E88" w:rsidRDefault="00801E88" w:rsidP="00D834AD">
      <w:pPr>
        <w:spacing w:after="0" w:line="360" w:lineRule="auto"/>
        <w:ind w:left="-227"/>
        <w:jc w:val="both"/>
        <w:rPr>
          <w:rFonts w:ascii="Cambria" w:hAnsi="Cambria"/>
          <w:sz w:val="24"/>
          <w:szCs w:val="24"/>
          <w:lang w:val="en-US"/>
        </w:rPr>
      </w:pPr>
    </w:p>
    <w:p w14:paraId="550180BC" w14:textId="607A96D3" w:rsidR="002C7EA8" w:rsidRDefault="002C7EA8" w:rsidP="00D834AD">
      <w:pPr>
        <w:spacing w:after="0" w:line="360" w:lineRule="auto"/>
        <w:ind w:left="-227"/>
        <w:jc w:val="both"/>
        <w:rPr>
          <w:rFonts w:ascii="Cambria" w:hAnsi="Cambria"/>
          <w:b/>
          <w:bCs/>
          <w:sz w:val="24"/>
          <w:szCs w:val="24"/>
          <w:lang w:val="en-US"/>
        </w:rPr>
      </w:pPr>
      <w:r w:rsidRPr="002C7EA8">
        <w:rPr>
          <w:rFonts w:ascii="Cambria" w:hAnsi="Cambria"/>
          <w:b/>
          <w:bCs/>
          <w:sz w:val="24"/>
          <w:szCs w:val="24"/>
          <w:lang w:val="en-US"/>
        </w:rPr>
        <w:t>4.0 ASSET UTILIZATION</w:t>
      </w:r>
    </w:p>
    <w:p w14:paraId="4267EB2A" w14:textId="284A7227" w:rsidR="002C7EA8" w:rsidRDefault="00BF0DCD" w:rsidP="00D834AD">
      <w:pPr>
        <w:spacing w:after="0" w:line="360" w:lineRule="auto"/>
        <w:ind w:left="-227"/>
        <w:jc w:val="both"/>
        <w:rPr>
          <w:rFonts w:ascii="Cambria" w:hAnsi="Cambria"/>
          <w:sz w:val="24"/>
          <w:szCs w:val="24"/>
          <w:lang w:val="en-US"/>
        </w:rPr>
      </w:pPr>
      <w:r w:rsidRPr="00BF0DCD">
        <w:rPr>
          <w:rFonts w:ascii="Cambria" w:hAnsi="Cambria"/>
          <w:sz w:val="24"/>
          <w:szCs w:val="24"/>
          <w:lang w:val="en-US"/>
        </w:rPr>
        <w:t>Both fixed and total assets are utilized well throughout the course of the two years, with improved performance seen in 2021 for both criteria. Ratios were lower in 2022. Additionally, bigger earnings (7.9%) from the invested assets were seen in 2021 compared to a loss of -0.6% in 2022. Data showed that it takes about 44 days for inventory items to sell. This has been consistently the case for the two years under review.</w:t>
      </w:r>
    </w:p>
    <w:p w14:paraId="7D2858A2" w14:textId="77777777" w:rsidR="00801E88" w:rsidRDefault="00801E88" w:rsidP="00D834AD">
      <w:pPr>
        <w:spacing w:after="0" w:line="360" w:lineRule="auto"/>
        <w:ind w:left="-227"/>
        <w:jc w:val="both"/>
        <w:rPr>
          <w:rFonts w:ascii="Cambria" w:hAnsi="Cambria"/>
          <w:sz w:val="24"/>
          <w:szCs w:val="24"/>
          <w:lang w:val="en-US"/>
        </w:rPr>
      </w:pPr>
    </w:p>
    <w:p w14:paraId="35923037" w14:textId="77777777" w:rsidR="00801E88" w:rsidRPr="004C5A70" w:rsidRDefault="00801E88" w:rsidP="00801E88">
      <w:pPr>
        <w:jc w:val="both"/>
      </w:pPr>
      <w:r w:rsidRPr="00950996">
        <w:rPr>
          <w:highlight w:val="green"/>
        </w:rPr>
        <w:t xml:space="preserve">Amazon has a large portion of goodwill in its asset base, where the </w:t>
      </w:r>
      <w:proofErr w:type="gramStart"/>
      <w:r w:rsidRPr="00950996">
        <w:rPr>
          <w:highlight w:val="green"/>
        </w:rPr>
        <w:t>Fixed</w:t>
      </w:r>
      <w:proofErr w:type="gramEnd"/>
      <w:r w:rsidRPr="00950996">
        <w:rPr>
          <w:highlight w:val="green"/>
        </w:rPr>
        <w:t xml:space="preserve"> asset turnover is almost three times higher than the total asset turnover. The goodwill and intangibles are manly as a result of acquisitions in addition to the increased R&amp;D spending on AWS which we will have to closely watch for future profitability.</w:t>
      </w:r>
    </w:p>
    <w:p w14:paraId="445088F2" w14:textId="77777777" w:rsidR="00801E88" w:rsidRDefault="00801E88" w:rsidP="00801E88">
      <w:pPr>
        <w:jc w:val="both"/>
        <w:rPr>
          <w:color w:val="000000" w:themeColor="text1"/>
        </w:rPr>
      </w:pPr>
    </w:p>
    <w:p w14:paraId="0FDD3DA2" w14:textId="77777777" w:rsidR="00801E88" w:rsidRDefault="00801E88" w:rsidP="00D834AD">
      <w:pPr>
        <w:spacing w:after="0" w:line="360" w:lineRule="auto"/>
        <w:ind w:left="-227"/>
        <w:jc w:val="both"/>
        <w:rPr>
          <w:rFonts w:ascii="Cambria" w:hAnsi="Cambria"/>
          <w:sz w:val="24"/>
          <w:szCs w:val="24"/>
          <w:lang w:val="en-US"/>
        </w:rPr>
      </w:pPr>
    </w:p>
    <w:p w14:paraId="54C14341" w14:textId="153F47F8" w:rsidR="006B056B" w:rsidRDefault="006B056B" w:rsidP="00D834AD">
      <w:pPr>
        <w:spacing w:after="0" w:line="360" w:lineRule="auto"/>
        <w:ind w:left="-227"/>
        <w:jc w:val="both"/>
        <w:rPr>
          <w:rFonts w:ascii="Cambria" w:hAnsi="Cambria"/>
          <w:b/>
          <w:bCs/>
          <w:sz w:val="24"/>
          <w:szCs w:val="24"/>
          <w:lang w:val="en-US"/>
        </w:rPr>
      </w:pPr>
      <w:r w:rsidRPr="006B056B">
        <w:rPr>
          <w:rFonts w:ascii="Cambria" w:hAnsi="Cambria"/>
          <w:b/>
          <w:bCs/>
          <w:sz w:val="24"/>
          <w:szCs w:val="24"/>
          <w:lang w:val="en-US"/>
        </w:rPr>
        <w:t>5.0 MARKET RATIOS</w:t>
      </w:r>
    </w:p>
    <w:p w14:paraId="43CE47B3" w14:textId="1378E42F" w:rsidR="006B056B" w:rsidRDefault="00AE2F63" w:rsidP="00D834AD">
      <w:pPr>
        <w:spacing w:after="0" w:line="360" w:lineRule="auto"/>
        <w:ind w:left="-227"/>
        <w:jc w:val="both"/>
        <w:rPr>
          <w:rFonts w:ascii="Cambria" w:hAnsi="Cambria"/>
          <w:sz w:val="24"/>
          <w:szCs w:val="24"/>
          <w:lang w:val="en-US"/>
        </w:rPr>
      </w:pPr>
      <w:r w:rsidRPr="00AE2F63">
        <w:rPr>
          <w:rFonts w:ascii="Cambria" w:hAnsi="Cambria"/>
          <w:sz w:val="24"/>
          <w:szCs w:val="24"/>
          <w:lang w:val="en-US"/>
        </w:rPr>
        <w:t xml:space="preserve">In 2022, a larger part of the company's net income was distributed per share. The value then was 10.60, an increase of 2.9% from the previous year. Price to equity (P/E), however, was greater in 2021 at 11.9 and decreased by -2.8%. The P/E of the firm trails by at least 2.3 units when compared to the median P/E for the S&amp;P, which was estimated to be 14.93 as of </w:t>
      </w:r>
      <w:r w:rsidRPr="00AE2F63">
        <w:rPr>
          <w:rFonts w:ascii="Cambria" w:hAnsi="Cambria"/>
          <w:sz w:val="24"/>
          <w:szCs w:val="24"/>
          <w:lang w:val="en-US"/>
        </w:rPr>
        <w:lastRenderedPageBreak/>
        <w:t>May 2023. In 2021, the return was 24% in proportion to shareholder equity; however, it fell to -2% in 2022, suggesting that investors may be afraid. When the debt financing option is taken into account, the return on capital increased in 2022 ---14% more than the previous year.</w:t>
      </w:r>
    </w:p>
    <w:p w14:paraId="3A21C978" w14:textId="77777777" w:rsidR="00401DCC" w:rsidRDefault="00401DCC" w:rsidP="00401DCC">
      <w:pPr>
        <w:spacing w:after="0" w:line="360" w:lineRule="auto"/>
        <w:ind w:left="-227"/>
        <w:jc w:val="both"/>
        <w:rPr>
          <w:rFonts w:ascii="Cambria" w:hAnsi="Cambria"/>
          <w:sz w:val="24"/>
          <w:szCs w:val="24"/>
          <w:lang w:val="en-US"/>
        </w:rPr>
      </w:pPr>
    </w:p>
    <w:p w14:paraId="116AA5BF" w14:textId="77777777" w:rsidR="00801E88" w:rsidRDefault="00801E88" w:rsidP="00801E88">
      <w:pPr>
        <w:jc w:val="both"/>
      </w:pPr>
      <w:r w:rsidRPr="007F68D6">
        <w:rPr>
          <w:highlight w:val="green"/>
        </w:rPr>
        <w:t xml:space="preserve">ROE, ROA and ROCE all are within the health territory, </w:t>
      </w:r>
      <w:r>
        <w:rPr>
          <w:highlight w:val="green"/>
        </w:rPr>
        <w:t xml:space="preserve">however, have declined </w:t>
      </w:r>
      <w:r w:rsidRPr="007F68D6">
        <w:rPr>
          <w:highlight w:val="green"/>
        </w:rPr>
        <w:t>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53236F1E" w14:textId="77777777" w:rsidR="00801E88" w:rsidRDefault="00801E88" w:rsidP="00401DCC">
      <w:pPr>
        <w:spacing w:after="0" w:line="360" w:lineRule="auto"/>
        <w:ind w:left="-227"/>
        <w:jc w:val="both"/>
        <w:rPr>
          <w:rFonts w:ascii="Cambria" w:hAnsi="Cambria"/>
          <w:sz w:val="24"/>
          <w:szCs w:val="24"/>
          <w:lang w:val="en-US"/>
        </w:rPr>
      </w:pPr>
    </w:p>
    <w:p w14:paraId="3D3ACB26" w14:textId="77777777" w:rsidR="00401DCC" w:rsidRDefault="00401DCC" w:rsidP="00401DCC">
      <w:pPr>
        <w:spacing w:after="0" w:line="360" w:lineRule="auto"/>
        <w:ind w:left="-227"/>
        <w:jc w:val="both"/>
        <w:rPr>
          <w:rFonts w:ascii="Cambria" w:hAnsi="Cambria"/>
          <w:b/>
          <w:bCs/>
          <w:sz w:val="24"/>
          <w:szCs w:val="24"/>
          <w:lang w:val="en-US"/>
        </w:rPr>
      </w:pPr>
      <w:r w:rsidRPr="00AE2F63">
        <w:rPr>
          <w:rFonts w:ascii="Cambria" w:hAnsi="Cambria"/>
          <w:b/>
          <w:bCs/>
          <w:sz w:val="24"/>
          <w:szCs w:val="24"/>
          <w:lang w:val="en-US"/>
        </w:rPr>
        <w:t>References:</w:t>
      </w:r>
    </w:p>
    <w:p w14:paraId="13904062" w14:textId="77777777" w:rsidR="00401DCC" w:rsidRDefault="00801E88" w:rsidP="00401DCC">
      <w:pPr>
        <w:pStyle w:val="ListParagraph"/>
        <w:numPr>
          <w:ilvl w:val="0"/>
          <w:numId w:val="2"/>
        </w:numPr>
        <w:spacing w:after="0" w:line="360" w:lineRule="auto"/>
        <w:jc w:val="both"/>
        <w:rPr>
          <w:rFonts w:ascii="Cambria" w:hAnsi="Cambria"/>
          <w:sz w:val="24"/>
          <w:szCs w:val="24"/>
          <w:lang w:val="en-US"/>
        </w:rPr>
      </w:pPr>
      <w:hyperlink r:id="rId6" w:history="1">
        <w:r w:rsidR="00401DCC" w:rsidRPr="007B73D6">
          <w:rPr>
            <w:rStyle w:val="Hyperlink"/>
            <w:rFonts w:ascii="Cambria" w:hAnsi="Cambria"/>
            <w:sz w:val="24"/>
            <w:szCs w:val="24"/>
            <w:lang w:val="en-US"/>
          </w:rPr>
          <w:t>https://www.investopedia.com/terms/d/dividendpayoutratio.asp</w:t>
        </w:r>
      </w:hyperlink>
    </w:p>
    <w:p w14:paraId="71ADF876" w14:textId="16B99646" w:rsidR="00401DCC" w:rsidRPr="00401DCC" w:rsidRDefault="00801E88" w:rsidP="00401DCC">
      <w:pPr>
        <w:pStyle w:val="ListParagraph"/>
        <w:numPr>
          <w:ilvl w:val="0"/>
          <w:numId w:val="2"/>
        </w:numPr>
        <w:spacing w:after="0" w:line="360" w:lineRule="auto"/>
        <w:jc w:val="both"/>
        <w:rPr>
          <w:rFonts w:ascii="Cambria" w:hAnsi="Cambria"/>
          <w:sz w:val="24"/>
          <w:szCs w:val="24"/>
          <w:lang w:val="en-US"/>
        </w:rPr>
      </w:pPr>
      <w:hyperlink r:id="rId7" w:anchor=":~:text=The%20inventory%20turnover%20ratio%20is%20a%20measure%20of%20how%20many,Inventory" w:history="1">
        <w:r w:rsidR="00401DCC" w:rsidRPr="007B73D6">
          <w:rPr>
            <w:rStyle w:val="Hyperlink"/>
            <w:rFonts w:ascii="Cambria" w:hAnsi="Cambria"/>
            <w:sz w:val="24"/>
            <w:szCs w:val="24"/>
            <w:lang w:val="en-US"/>
          </w:rPr>
          <w:t>https://www.netsuite.com/portal/resource/articles/inventorymanagement/inventoryturnoverratio.shtml#:~:text=The%20inventory%20turnover%20ratio%20is%20a%20measure%20of%20how%20many,Inventory</w:t>
        </w:r>
      </w:hyperlink>
    </w:p>
    <w:p w14:paraId="1D7B8C8F" w14:textId="285C22C0" w:rsidR="00401DCC" w:rsidRDefault="00AE2F63" w:rsidP="00401DCC">
      <w:pPr>
        <w:spacing w:after="0" w:line="360" w:lineRule="auto"/>
        <w:ind w:left="-227"/>
        <w:jc w:val="both"/>
        <w:rPr>
          <w:rFonts w:ascii="Cambria" w:hAnsi="Cambria"/>
          <w:b/>
          <w:bCs/>
          <w:sz w:val="24"/>
          <w:szCs w:val="24"/>
          <w:lang w:val="en-US"/>
        </w:rPr>
      </w:pPr>
      <w:r w:rsidRPr="00AE2F63">
        <w:rPr>
          <w:rFonts w:ascii="Cambria" w:hAnsi="Cambria"/>
          <w:b/>
          <w:bCs/>
          <w:sz w:val="24"/>
          <w:szCs w:val="24"/>
          <w:lang w:val="en-US"/>
        </w:rPr>
        <w:t>Append</w:t>
      </w:r>
      <w:r w:rsidR="00401DCC" w:rsidRPr="00401DCC">
        <w:rPr>
          <w:rFonts w:ascii="Cambria" w:hAnsi="Cambria"/>
          <w:b/>
          <w:bCs/>
          <w:sz w:val="24"/>
          <w:szCs w:val="24"/>
          <w:lang w:val="en-US"/>
        </w:rPr>
        <w:t>ix</w:t>
      </w:r>
    </w:p>
    <w:p w14:paraId="28AC91E7" w14:textId="0839894D" w:rsidR="00401DCC" w:rsidRPr="00401DCC" w:rsidRDefault="00401DCC" w:rsidP="00401DCC">
      <w:pPr>
        <w:spacing w:after="0" w:line="360" w:lineRule="auto"/>
        <w:ind w:left="-227"/>
        <w:jc w:val="both"/>
        <w:rPr>
          <w:rFonts w:ascii="Cambria" w:hAnsi="Cambria"/>
          <w:sz w:val="24"/>
          <w:szCs w:val="24"/>
          <w:lang w:val="en-US"/>
        </w:rPr>
      </w:pPr>
      <w:r>
        <w:rPr>
          <w:rFonts w:ascii="Cambria" w:hAnsi="Cambria"/>
          <w:sz w:val="24"/>
          <w:szCs w:val="24"/>
          <w:lang w:val="en-US"/>
        </w:rPr>
        <w:t>The excel calculation sheet is embed below:</w:t>
      </w:r>
    </w:p>
    <w:p w14:paraId="3B87F1D0" w14:textId="77777777" w:rsidR="00401DCC" w:rsidRDefault="00401DCC" w:rsidP="00401DCC">
      <w:pPr>
        <w:spacing w:after="0" w:line="360" w:lineRule="auto"/>
        <w:jc w:val="both"/>
        <w:rPr>
          <w:rFonts w:ascii="Cambria" w:hAnsi="Cambria"/>
          <w:b/>
          <w:bCs/>
          <w:sz w:val="24"/>
          <w:szCs w:val="24"/>
          <w:lang w:val="en-US"/>
        </w:rPr>
      </w:pPr>
    </w:p>
    <w:bookmarkStart w:id="0" w:name="_GoBack"/>
    <w:p w14:paraId="358C7078" w14:textId="69549F40" w:rsidR="00401DCC" w:rsidRPr="00401DCC" w:rsidRDefault="00401DCC" w:rsidP="00401DCC">
      <w:pPr>
        <w:spacing w:after="0" w:line="360" w:lineRule="auto"/>
        <w:jc w:val="both"/>
        <w:rPr>
          <w:rFonts w:ascii="Cambria" w:hAnsi="Cambria"/>
          <w:sz w:val="24"/>
          <w:szCs w:val="24"/>
          <w:lang w:val="en-US"/>
        </w:rPr>
      </w:pPr>
      <w:r>
        <w:rPr>
          <w:lang w:val="en-US"/>
        </w:rPr>
        <w:fldChar w:fldCharType="begin"/>
      </w:r>
      <w:r>
        <w:rPr>
          <w:lang w:val="en-US"/>
        </w:rPr>
        <w:instrText xml:space="preserve"> LINK Excel.Sheet.12 "C:\\Users\\Dell\\OneDrive - Solent University\\Desktop\\Quill Capital Finance Tasks\\Amazon's Calculations 1685719496_Task 2 Ratio Analysis &amp; Interpretation.xlsx" "" \a \p \f 0 </w:instrText>
      </w:r>
      <w:r>
        <w:rPr>
          <w:lang w:val="en-US"/>
        </w:rPr>
        <w:fldChar w:fldCharType="separate"/>
      </w:r>
      <w:r>
        <w:rPr>
          <w:lang w:val="en-US"/>
        </w:rPr>
        <w:object w:dxaOrig="1520" w:dyaOrig="987" w14:anchorId="1023B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v:imagedata r:id="rId8" o:title=""/>
          </v:shape>
        </w:object>
      </w:r>
      <w:r>
        <w:rPr>
          <w:lang w:val="en-US"/>
        </w:rPr>
        <w:fldChar w:fldCharType="end"/>
      </w:r>
      <w:bookmarkEnd w:id="0"/>
    </w:p>
    <w:sectPr w:rsidR="00401DCC" w:rsidRPr="00401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C1211"/>
    <w:multiLevelType w:val="hybridMultilevel"/>
    <w:tmpl w:val="FA1A54DA"/>
    <w:lvl w:ilvl="0" w:tplc="CA3CFE22">
      <w:start w:val="1"/>
      <w:numFmt w:val="decimal"/>
      <w:lvlText w:val="%1."/>
      <w:lvlJc w:val="left"/>
      <w:pPr>
        <w:ind w:left="133" w:hanging="360"/>
      </w:pPr>
      <w:rPr>
        <w:rFonts w:hint="default"/>
      </w:rPr>
    </w:lvl>
    <w:lvl w:ilvl="1" w:tplc="08090019" w:tentative="1">
      <w:start w:val="1"/>
      <w:numFmt w:val="lowerLetter"/>
      <w:lvlText w:val="%2."/>
      <w:lvlJc w:val="left"/>
      <w:pPr>
        <w:ind w:left="853" w:hanging="360"/>
      </w:pPr>
    </w:lvl>
    <w:lvl w:ilvl="2" w:tplc="0809001B" w:tentative="1">
      <w:start w:val="1"/>
      <w:numFmt w:val="lowerRoman"/>
      <w:lvlText w:val="%3."/>
      <w:lvlJc w:val="right"/>
      <w:pPr>
        <w:ind w:left="1573" w:hanging="180"/>
      </w:pPr>
    </w:lvl>
    <w:lvl w:ilvl="3" w:tplc="0809000F" w:tentative="1">
      <w:start w:val="1"/>
      <w:numFmt w:val="decimal"/>
      <w:lvlText w:val="%4."/>
      <w:lvlJc w:val="left"/>
      <w:pPr>
        <w:ind w:left="2293" w:hanging="360"/>
      </w:pPr>
    </w:lvl>
    <w:lvl w:ilvl="4" w:tplc="08090019" w:tentative="1">
      <w:start w:val="1"/>
      <w:numFmt w:val="lowerLetter"/>
      <w:lvlText w:val="%5."/>
      <w:lvlJc w:val="left"/>
      <w:pPr>
        <w:ind w:left="3013" w:hanging="360"/>
      </w:pPr>
    </w:lvl>
    <w:lvl w:ilvl="5" w:tplc="0809001B" w:tentative="1">
      <w:start w:val="1"/>
      <w:numFmt w:val="lowerRoman"/>
      <w:lvlText w:val="%6."/>
      <w:lvlJc w:val="right"/>
      <w:pPr>
        <w:ind w:left="3733" w:hanging="180"/>
      </w:pPr>
    </w:lvl>
    <w:lvl w:ilvl="6" w:tplc="0809000F" w:tentative="1">
      <w:start w:val="1"/>
      <w:numFmt w:val="decimal"/>
      <w:lvlText w:val="%7."/>
      <w:lvlJc w:val="left"/>
      <w:pPr>
        <w:ind w:left="4453" w:hanging="360"/>
      </w:pPr>
    </w:lvl>
    <w:lvl w:ilvl="7" w:tplc="08090019" w:tentative="1">
      <w:start w:val="1"/>
      <w:numFmt w:val="lowerLetter"/>
      <w:lvlText w:val="%8."/>
      <w:lvlJc w:val="left"/>
      <w:pPr>
        <w:ind w:left="5173" w:hanging="360"/>
      </w:pPr>
    </w:lvl>
    <w:lvl w:ilvl="8" w:tplc="0809001B" w:tentative="1">
      <w:start w:val="1"/>
      <w:numFmt w:val="lowerRoman"/>
      <w:lvlText w:val="%9."/>
      <w:lvlJc w:val="right"/>
      <w:pPr>
        <w:ind w:left="5893" w:hanging="180"/>
      </w:pPr>
    </w:lvl>
  </w:abstractNum>
  <w:abstractNum w:abstractNumId="1" w15:restartNumberingAfterBreak="0">
    <w:nsid w:val="29E26AC9"/>
    <w:multiLevelType w:val="hybridMultilevel"/>
    <w:tmpl w:val="8B941088"/>
    <w:lvl w:ilvl="0" w:tplc="AD949A60">
      <w:start w:val="1"/>
      <w:numFmt w:val="decimal"/>
      <w:lvlText w:val="%1."/>
      <w:lvlJc w:val="left"/>
      <w:pPr>
        <w:ind w:left="133" w:hanging="360"/>
      </w:pPr>
      <w:rPr>
        <w:rFonts w:hint="default"/>
        <w:b/>
        <w:bCs/>
      </w:rPr>
    </w:lvl>
    <w:lvl w:ilvl="1" w:tplc="08090019" w:tentative="1">
      <w:start w:val="1"/>
      <w:numFmt w:val="lowerLetter"/>
      <w:lvlText w:val="%2."/>
      <w:lvlJc w:val="left"/>
      <w:pPr>
        <w:ind w:left="853" w:hanging="360"/>
      </w:pPr>
    </w:lvl>
    <w:lvl w:ilvl="2" w:tplc="0809001B" w:tentative="1">
      <w:start w:val="1"/>
      <w:numFmt w:val="lowerRoman"/>
      <w:lvlText w:val="%3."/>
      <w:lvlJc w:val="right"/>
      <w:pPr>
        <w:ind w:left="1573" w:hanging="180"/>
      </w:pPr>
    </w:lvl>
    <w:lvl w:ilvl="3" w:tplc="0809000F" w:tentative="1">
      <w:start w:val="1"/>
      <w:numFmt w:val="decimal"/>
      <w:lvlText w:val="%4."/>
      <w:lvlJc w:val="left"/>
      <w:pPr>
        <w:ind w:left="2293" w:hanging="360"/>
      </w:pPr>
    </w:lvl>
    <w:lvl w:ilvl="4" w:tplc="08090019" w:tentative="1">
      <w:start w:val="1"/>
      <w:numFmt w:val="lowerLetter"/>
      <w:lvlText w:val="%5."/>
      <w:lvlJc w:val="left"/>
      <w:pPr>
        <w:ind w:left="3013" w:hanging="360"/>
      </w:pPr>
    </w:lvl>
    <w:lvl w:ilvl="5" w:tplc="0809001B" w:tentative="1">
      <w:start w:val="1"/>
      <w:numFmt w:val="lowerRoman"/>
      <w:lvlText w:val="%6."/>
      <w:lvlJc w:val="right"/>
      <w:pPr>
        <w:ind w:left="3733" w:hanging="180"/>
      </w:pPr>
    </w:lvl>
    <w:lvl w:ilvl="6" w:tplc="0809000F" w:tentative="1">
      <w:start w:val="1"/>
      <w:numFmt w:val="decimal"/>
      <w:lvlText w:val="%7."/>
      <w:lvlJc w:val="left"/>
      <w:pPr>
        <w:ind w:left="4453" w:hanging="360"/>
      </w:pPr>
    </w:lvl>
    <w:lvl w:ilvl="7" w:tplc="08090019" w:tentative="1">
      <w:start w:val="1"/>
      <w:numFmt w:val="lowerLetter"/>
      <w:lvlText w:val="%8."/>
      <w:lvlJc w:val="left"/>
      <w:pPr>
        <w:ind w:left="5173" w:hanging="360"/>
      </w:pPr>
    </w:lvl>
    <w:lvl w:ilvl="8" w:tplc="0809001B" w:tentative="1">
      <w:start w:val="1"/>
      <w:numFmt w:val="lowerRoman"/>
      <w:lvlText w:val="%9."/>
      <w:lvlJc w:val="right"/>
      <w:pPr>
        <w:ind w:left="5893" w:hanging="180"/>
      </w:pPr>
    </w:lvl>
  </w:abstractNum>
  <w:abstractNum w:abstractNumId="2" w15:restartNumberingAfterBreak="0">
    <w:nsid w:val="535766AC"/>
    <w:multiLevelType w:val="hybridMultilevel"/>
    <w:tmpl w:val="C2BC5604"/>
    <w:lvl w:ilvl="0" w:tplc="0402F920">
      <w:start w:val="1"/>
      <w:numFmt w:val="decimal"/>
      <w:lvlText w:val="%1."/>
      <w:lvlJc w:val="left"/>
      <w:pPr>
        <w:ind w:left="133" w:hanging="360"/>
      </w:pPr>
      <w:rPr>
        <w:rFonts w:hint="default"/>
      </w:rPr>
    </w:lvl>
    <w:lvl w:ilvl="1" w:tplc="08090019" w:tentative="1">
      <w:start w:val="1"/>
      <w:numFmt w:val="lowerLetter"/>
      <w:lvlText w:val="%2."/>
      <w:lvlJc w:val="left"/>
      <w:pPr>
        <w:ind w:left="853" w:hanging="360"/>
      </w:pPr>
    </w:lvl>
    <w:lvl w:ilvl="2" w:tplc="0809001B" w:tentative="1">
      <w:start w:val="1"/>
      <w:numFmt w:val="lowerRoman"/>
      <w:lvlText w:val="%3."/>
      <w:lvlJc w:val="right"/>
      <w:pPr>
        <w:ind w:left="1573" w:hanging="180"/>
      </w:pPr>
    </w:lvl>
    <w:lvl w:ilvl="3" w:tplc="0809000F" w:tentative="1">
      <w:start w:val="1"/>
      <w:numFmt w:val="decimal"/>
      <w:lvlText w:val="%4."/>
      <w:lvlJc w:val="left"/>
      <w:pPr>
        <w:ind w:left="2293" w:hanging="360"/>
      </w:pPr>
    </w:lvl>
    <w:lvl w:ilvl="4" w:tplc="08090019" w:tentative="1">
      <w:start w:val="1"/>
      <w:numFmt w:val="lowerLetter"/>
      <w:lvlText w:val="%5."/>
      <w:lvlJc w:val="left"/>
      <w:pPr>
        <w:ind w:left="3013" w:hanging="360"/>
      </w:pPr>
    </w:lvl>
    <w:lvl w:ilvl="5" w:tplc="0809001B" w:tentative="1">
      <w:start w:val="1"/>
      <w:numFmt w:val="lowerRoman"/>
      <w:lvlText w:val="%6."/>
      <w:lvlJc w:val="right"/>
      <w:pPr>
        <w:ind w:left="3733" w:hanging="180"/>
      </w:pPr>
    </w:lvl>
    <w:lvl w:ilvl="6" w:tplc="0809000F" w:tentative="1">
      <w:start w:val="1"/>
      <w:numFmt w:val="decimal"/>
      <w:lvlText w:val="%7."/>
      <w:lvlJc w:val="left"/>
      <w:pPr>
        <w:ind w:left="4453" w:hanging="360"/>
      </w:pPr>
    </w:lvl>
    <w:lvl w:ilvl="7" w:tplc="08090019" w:tentative="1">
      <w:start w:val="1"/>
      <w:numFmt w:val="lowerLetter"/>
      <w:lvlText w:val="%8."/>
      <w:lvlJc w:val="left"/>
      <w:pPr>
        <w:ind w:left="5173" w:hanging="360"/>
      </w:pPr>
    </w:lvl>
    <w:lvl w:ilvl="8" w:tplc="0809001B" w:tentative="1">
      <w:start w:val="1"/>
      <w:numFmt w:val="lowerRoman"/>
      <w:lvlText w:val="%9."/>
      <w:lvlJc w:val="right"/>
      <w:pPr>
        <w:ind w:left="5893" w:hanging="180"/>
      </w:pPr>
    </w:lvl>
  </w:abstractNum>
  <w:abstractNum w:abstractNumId="3" w15:restartNumberingAfterBreak="0">
    <w:nsid w:val="6FBB37E7"/>
    <w:multiLevelType w:val="hybridMultilevel"/>
    <w:tmpl w:val="9588F324"/>
    <w:lvl w:ilvl="0" w:tplc="C3BA49BE">
      <w:start w:val="1"/>
      <w:numFmt w:val="decimal"/>
      <w:lvlText w:val="%1."/>
      <w:lvlJc w:val="left"/>
      <w:pPr>
        <w:ind w:left="133" w:hanging="360"/>
      </w:pPr>
      <w:rPr>
        <w:rFonts w:hint="default"/>
      </w:rPr>
    </w:lvl>
    <w:lvl w:ilvl="1" w:tplc="08090019" w:tentative="1">
      <w:start w:val="1"/>
      <w:numFmt w:val="lowerLetter"/>
      <w:lvlText w:val="%2."/>
      <w:lvlJc w:val="left"/>
      <w:pPr>
        <w:ind w:left="853" w:hanging="360"/>
      </w:pPr>
    </w:lvl>
    <w:lvl w:ilvl="2" w:tplc="0809001B" w:tentative="1">
      <w:start w:val="1"/>
      <w:numFmt w:val="lowerRoman"/>
      <w:lvlText w:val="%3."/>
      <w:lvlJc w:val="right"/>
      <w:pPr>
        <w:ind w:left="1573" w:hanging="180"/>
      </w:pPr>
    </w:lvl>
    <w:lvl w:ilvl="3" w:tplc="0809000F" w:tentative="1">
      <w:start w:val="1"/>
      <w:numFmt w:val="decimal"/>
      <w:lvlText w:val="%4."/>
      <w:lvlJc w:val="left"/>
      <w:pPr>
        <w:ind w:left="2293" w:hanging="360"/>
      </w:pPr>
    </w:lvl>
    <w:lvl w:ilvl="4" w:tplc="08090019" w:tentative="1">
      <w:start w:val="1"/>
      <w:numFmt w:val="lowerLetter"/>
      <w:lvlText w:val="%5."/>
      <w:lvlJc w:val="left"/>
      <w:pPr>
        <w:ind w:left="3013" w:hanging="360"/>
      </w:pPr>
    </w:lvl>
    <w:lvl w:ilvl="5" w:tplc="0809001B" w:tentative="1">
      <w:start w:val="1"/>
      <w:numFmt w:val="lowerRoman"/>
      <w:lvlText w:val="%6."/>
      <w:lvlJc w:val="right"/>
      <w:pPr>
        <w:ind w:left="3733" w:hanging="180"/>
      </w:pPr>
    </w:lvl>
    <w:lvl w:ilvl="6" w:tplc="0809000F" w:tentative="1">
      <w:start w:val="1"/>
      <w:numFmt w:val="decimal"/>
      <w:lvlText w:val="%7."/>
      <w:lvlJc w:val="left"/>
      <w:pPr>
        <w:ind w:left="4453" w:hanging="360"/>
      </w:pPr>
    </w:lvl>
    <w:lvl w:ilvl="7" w:tplc="08090019" w:tentative="1">
      <w:start w:val="1"/>
      <w:numFmt w:val="lowerLetter"/>
      <w:lvlText w:val="%8."/>
      <w:lvlJc w:val="left"/>
      <w:pPr>
        <w:ind w:left="5173" w:hanging="360"/>
      </w:pPr>
    </w:lvl>
    <w:lvl w:ilvl="8" w:tplc="0809001B" w:tentative="1">
      <w:start w:val="1"/>
      <w:numFmt w:val="lowerRoman"/>
      <w:lvlText w:val="%9."/>
      <w:lvlJc w:val="right"/>
      <w:pPr>
        <w:ind w:left="5893" w:hanging="180"/>
      </w:pPr>
    </w:lvl>
  </w:abstractNum>
  <w:abstractNum w:abstractNumId="4" w15:restartNumberingAfterBreak="0">
    <w:nsid w:val="7C2E3779"/>
    <w:multiLevelType w:val="hybridMultilevel"/>
    <w:tmpl w:val="D7FA3868"/>
    <w:lvl w:ilvl="0" w:tplc="2118FF82">
      <w:start w:val="1"/>
      <w:numFmt w:val="decimal"/>
      <w:lvlText w:val="%1."/>
      <w:lvlJc w:val="left"/>
      <w:pPr>
        <w:ind w:left="133" w:hanging="360"/>
      </w:pPr>
      <w:rPr>
        <w:rFonts w:hint="default"/>
      </w:rPr>
    </w:lvl>
    <w:lvl w:ilvl="1" w:tplc="08090019" w:tentative="1">
      <w:start w:val="1"/>
      <w:numFmt w:val="lowerLetter"/>
      <w:lvlText w:val="%2."/>
      <w:lvlJc w:val="left"/>
      <w:pPr>
        <w:ind w:left="853" w:hanging="360"/>
      </w:pPr>
    </w:lvl>
    <w:lvl w:ilvl="2" w:tplc="0809001B" w:tentative="1">
      <w:start w:val="1"/>
      <w:numFmt w:val="lowerRoman"/>
      <w:lvlText w:val="%3."/>
      <w:lvlJc w:val="right"/>
      <w:pPr>
        <w:ind w:left="1573" w:hanging="180"/>
      </w:pPr>
    </w:lvl>
    <w:lvl w:ilvl="3" w:tplc="0809000F" w:tentative="1">
      <w:start w:val="1"/>
      <w:numFmt w:val="decimal"/>
      <w:lvlText w:val="%4."/>
      <w:lvlJc w:val="left"/>
      <w:pPr>
        <w:ind w:left="2293" w:hanging="360"/>
      </w:pPr>
    </w:lvl>
    <w:lvl w:ilvl="4" w:tplc="08090019" w:tentative="1">
      <w:start w:val="1"/>
      <w:numFmt w:val="lowerLetter"/>
      <w:lvlText w:val="%5."/>
      <w:lvlJc w:val="left"/>
      <w:pPr>
        <w:ind w:left="3013" w:hanging="360"/>
      </w:pPr>
    </w:lvl>
    <w:lvl w:ilvl="5" w:tplc="0809001B" w:tentative="1">
      <w:start w:val="1"/>
      <w:numFmt w:val="lowerRoman"/>
      <w:lvlText w:val="%6."/>
      <w:lvlJc w:val="right"/>
      <w:pPr>
        <w:ind w:left="3733" w:hanging="180"/>
      </w:pPr>
    </w:lvl>
    <w:lvl w:ilvl="6" w:tplc="0809000F" w:tentative="1">
      <w:start w:val="1"/>
      <w:numFmt w:val="decimal"/>
      <w:lvlText w:val="%7."/>
      <w:lvlJc w:val="left"/>
      <w:pPr>
        <w:ind w:left="4453" w:hanging="360"/>
      </w:pPr>
    </w:lvl>
    <w:lvl w:ilvl="7" w:tplc="08090019" w:tentative="1">
      <w:start w:val="1"/>
      <w:numFmt w:val="lowerLetter"/>
      <w:lvlText w:val="%8."/>
      <w:lvlJc w:val="left"/>
      <w:pPr>
        <w:ind w:left="5173" w:hanging="360"/>
      </w:pPr>
    </w:lvl>
    <w:lvl w:ilvl="8" w:tplc="0809001B" w:tentative="1">
      <w:start w:val="1"/>
      <w:numFmt w:val="lowerRoman"/>
      <w:lvlText w:val="%9."/>
      <w:lvlJc w:val="right"/>
      <w:pPr>
        <w:ind w:left="5893"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71"/>
    <w:rsid w:val="00054D3D"/>
    <w:rsid w:val="00081D33"/>
    <w:rsid w:val="00096672"/>
    <w:rsid w:val="000B0318"/>
    <w:rsid w:val="000C3ACB"/>
    <w:rsid w:val="00141B75"/>
    <w:rsid w:val="00180113"/>
    <w:rsid w:val="001B6FB7"/>
    <w:rsid w:val="001D3BD7"/>
    <w:rsid w:val="00207842"/>
    <w:rsid w:val="002618BF"/>
    <w:rsid w:val="002713C3"/>
    <w:rsid w:val="00272CD5"/>
    <w:rsid w:val="002C7EA8"/>
    <w:rsid w:val="003070EF"/>
    <w:rsid w:val="00316ACB"/>
    <w:rsid w:val="003D5213"/>
    <w:rsid w:val="00401DCC"/>
    <w:rsid w:val="00440BFF"/>
    <w:rsid w:val="0045071B"/>
    <w:rsid w:val="00463031"/>
    <w:rsid w:val="00481CEC"/>
    <w:rsid w:val="00486ED6"/>
    <w:rsid w:val="004E7E1F"/>
    <w:rsid w:val="00536F82"/>
    <w:rsid w:val="00560359"/>
    <w:rsid w:val="005B66BB"/>
    <w:rsid w:val="006024C1"/>
    <w:rsid w:val="00636BA5"/>
    <w:rsid w:val="00676097"/>
    <w:rsid w:val="006A7A5E"/>
    <w:rsid w:val="006B056B"/>
    <w:rsid w:val="006E07BB"/>
    <w:rsid w:val="006E4060"/>
    <w:rsid w:val="007A3BBD"/>
    <w:rsid w:val="00801E88"/>
    <w:rsid w:val="00804D04"/>
    <w:rsid w:val="008172F7"/>
    <w:rsid w:val="0083470F"/>
    <w:rsid w:val="008C79DD"/>
    <w:rsid w:val="008E69B0"/>
    <w:rsid w:val="00900DCD"/>
    <w:rsid w:val="00925631"/>
    <w:rsid w:val="00953CB1"/>
    <w:rsid w:val="009F2F3B"/>
    <w:rsid w:val="00A20FA4"/>
    <w:rsid w:val="00A43E36"/>
    <w:rsid w:val="00A4587D"/>
    <w:rsid w:val="00A46922"/>
    <w:rsid w:val="00A76371"/>
    <w:rsid w:val="00A940D0"/>
    <w:rsid w:val="00AD07F0"/>
    <w:rsid w:val="00AE2F63"/>
    <w:rsid w:val="00AF68B9"/>
    <w:rsid w:val="00B3454D"/>
    <w:rsid w:val="00B96988"/>
    <w:rsid w:val="00BF0CA0"/>
    <w:rsid w:val="00BF0DCD"/>
    <w:rsid w:val="00C50B2B"/>
    <w:rsid w:val="00C65B48"/>
    <w:rsid w:val="00CD352D"/>
    <w:rsid w:val="00D04772"/>
    <w:rsid w:val="00D30BC9"/>
    <w:rsid w:val="00D834AD"/>
    <w:rsid w:val="00DC785E"/>
    <w:rsid w:val="00DD2987"/>
    <w:rsid w:val="00E57A18"/>
    <w:rsid w:val="00EA5E0B"/>
    <w:rsid w:val="00EA6449"/>
    <w:rsid w:val="00F115BC"/>
    <w:rsid w:val="00F2261C"/>
    <w:rsid w:val="00F90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BA1F"/>
  <w15:chartTrackingRefBased/>
  <w15:docId w15:val="{F535AC3C-93FD-40A8-8874-F38C2999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F63"/>
    <w:pPr>
      <w:ind w:left="720"/>
      <w:contextualSpacing/>
    </w:pPr>
  </w:style>
  <w:style w:type="character" w:styleId="Hyperlink">
    <w:name w:val="Hyperlink"/>
    <w:basedOn w:val="DefaultParagraphFont"/>
    <w:uiPriority w:val="99"/>
    <w:unhideWhenUsed/>
    <w:rsid w:val="00AE2F63"/>
    <w:rPr>
      <w:color w:val="0563C1" w:themeColor="hyperlink"/>
      <w:u w:val="single"/>
    </w:rPr>
  </w:style>
  <w:style w:type="character" w:customStyle="1" w:styleId="UnresolvedMention">
    <w:name w:val="Unresolved Mention"/>
    <w:basedOn w:val="DefaultParagraphFont"/>
    <w:uiPriority w:val="99"/>
    <w:semiHidden/>
    <w:unhideWhenUsed/>
    <w:rsid w:val="00AE2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netsuite.com/portal/resource/articles/inventorymanagement/inventoryturnoverratio.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vestopedia.com/terms/d/dividendpayoutratio.as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B8E3F-6541-4CEF-9313-29583A34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Ajibola Olaosebikan</dc:creator>
  <cp:keywords/>
  <dc:description/>
  <cp:lastModifiedBy>Microsoft account</cp:lastModifiedBy>
  <cp:revision>2</cp:revision>
  <dcterms:created xsi:type="dcterms:W3CDTF">2023-06-13T16:19:00Z</dcterms:created>
  <dcterms:modified xsi:type="dcterms:W3CDTF">2023-06-13T16:19:00Z</dcterms:modified>
</cp:coreProperties>
</file>